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817" w:rsidRDefault="00104817" w:rsidP="00104817">
      <w:pPr>
        <w:tabs>
          <w:tab w:val="center" w:pos="4153"/>
        </w:tabs>
        <w:rPr>
          <w:rFonts w:ascii="仿宋" w:eastAsia="仿宋" w:hAnsi="仿宋" w:cs="仿宋"/>
          <w:sz w:val="32"/>
          <w:szCs w:val="32"/>
        </w:rPr>
      </w:pPr>
      <w:r>
        <w:rPr>
          <w:rFonts w:ascii="黑体" w:eastAsia="黑体" w:hAnsi="黑体" w:cs="黑体" w:hint="eastAsia"/>
          <w:sz w:val="32"/>
          <w:szCs w:val="32"/>
        </w:rPr>
        <w:t>附件1</w:t>
      </w:r>
    </w:p>
    <w:p w:rsidR="00104817" w:rsidRDefault="00104817" w:rsidP="00104817">
      <w:pPr>
        <w:pStyle w:val="a5"/>
        <w:jc w:val="center"/>
        <w:rPr>
          <w:rFonts w:ascii="黑体" w:eastAsia="黑体" w:hAnsi="黑体" w:cs="黑体"/>
          <w:kern w:val="2"/>
          <w:sz w:val="32"/>
          <w:szCs w:val="32"/>
        </w:rPr>
      </w:pPr>
      <w:bookmarkStart w:id="0" w:name="_GoBack"/>
      <w:r>
        <w:rPr>
          <w:rFonts w:ascii="方正小标宋简体" w:eastAsia="方正小标宋简体" w:hint="eastAsia"/>
          <w:sz w:val="36"/>
          <w:szCs w:val="36"/>
        </w:rPr>
        <w:t>大学习大讨论调研工作方案</w:t>
      </w:r>
    </w:p>
    <w:bookmarkEnd w:id="0"/>
    <w:p w:rsidR="00104817" w:rsidRDefault="00104817" w:rsidP="00104817">
      <w:pPr>
        <w:pStyle w:val="a5"/>
        <w:tabs>
          <w:tab w:val="center" w:pos="4153"/>
        </w:tabs>
        <w:ind w:firstLineChars="200" w:firstLine="640"/>
        <w:jc w:val="both"/>
        <w:rPr>
          <w:rFonts w:ascii="仿宋" w:eastAsia="仿宋" w:hAnsi="仿宋" w:cs="Times New Roman"/>
          <w:kern w:val="2"/>
          <w:sz w:val="32"/>
          <w:szCs w:val="32"/>
        </w:rPr>
      </w:pPr>
      <w:r>
        <w:rPr>
          <w:rFonts w:ascii="仿宋" w:eastAsia="仿宋" w:hAnsi="仿宋" w:cs="Times New Roman" w:hint="eastAsia"/>
          <w:kern w:val="2"/>
          <w:sz w:val="32"/>
          <w:szCs w:val="32"/>
        </w:rPr>
        <w:t>大学习大讨论期间，围绕四个方面的主要内容，确定11个调研专题，附属中专领导班子成员按照</w:t>
      </w:r>
      <w:proofErr w:type="gramStart"/>
      <w:r>
        <w:rPr>
          <w:rFonts w:ascii="仿宋" w:eastAsia="仿宋" w:hAnsi="仿宋" w:cs="Times New Roman" w:hint="eastAsia"/>
          <w:kern w:val="2"/>
          <w:sz w:val="32"/>
          <w:szCs w:val="32"/>
        </w:rPr>
        <w:t>分工领题调研</w:t>
      </w:r>
      <w:proofErr w:type="gramEnd"/>
      <w:r>
        <w:rPr>
          <w:rFonts w:ascii="仿宋" w:eastAsia="仿宋" w:hAnsi="仿宋" w:cs="Times New Roman" w:hint="eastAsia"/>
          <w:kern w:val="2"/>
          <w:sz w:val="32"/>
          <w:szCs w:val="32"/>
        </w:rPr>
        <w:t>。专题调研安排如下：</w:t>
      </w:r>
    </w:p>
    <w:tbl>
      <w:tblPr>
        <w:tblW w:w="0" w:type="auto"/>
        <w:jc w:val="center"/>
        <w:tblLayout w:type="fixed"/>
        <w:tblLook w:val="0000" w:firstRow="0" w:lastRow="0" w:firstColumn="0" w:lastColumn="0" w:noHBand="0" w:noVBand="0"/>
      </w:tblPr>
      <w:tblGrid>
        <w:gridCol w:w="1180"/>
        <w:gridCol w:w="6900"/>
        <w:gridCol w:w="917"/>
        <w:gridCol w:w="1276"/>
      </w:tblGrid>
      <w:tr w:rsidR="00104817" w:rsidTr="00C160A1">
        <w:trPr>
          <w:trHeight w:val="570"/>
          <w:jc w:val="center"/>
        </w:trPr>
        <w:tc>
          <w:tcPr>
            <w:tcW w:w="1180" w:type="dxa"/>
            <w:tcBorders>
              <w:top w:val="single" w:sz="4" w:space="0" w:color="000000"/>
              <w:left w:val="single" w:sz="4" w:space="0" w:color="000000"/>
              <w:bottom w:val="single" w:sz="4" w:space="0" w:color="000000"/>
              <w:right w:val="single" w:sz="4" w:space="0" w:color="000000"/>
            </w:tcBorders>
            <w:vAlign w:val="center"/>
          </w:tcPr>
          <w:p w:rsidR="00104817" w:rsidRDefault="00104817" w:rsidP="00C160A1">
            <w:pPr>
              <w:jc w:val="center"/>
              <w:rPr>
                <w:rFonts w:ascii="仿宋" w:eastAsia="仿宋" w:hAnsi="仿宋" w:cs="宋体"/>
                <w:b/>
                <w:bCs/>
                <w:color w:val="000000"/>
                <w:sz w:val="24"/>
              </w:rPr>
            </w:pPr>
            <w:r>
              <w:rPr>
                <w:rFonts w:ascii="仿宋" w:eastAsia="仿宋" w:hAnsi="仿宋" w:cs="宋体" w:hint="eastAsia"/>
                <w:b/>
                <w:bCs/>
                <w:color w:val="000000"/>
                <w:sz w:val="24"/>
              </w:rPr>
              <w:t>专题名称</w:t>
            </w:r>
          </w:p>
        </w:tc>
        <w:tc>
          <w:tcPr>
            <w:tcW w:w="6900" w:type="dxa"/>
            <w:tcBorders>
              <w:top w:val="single" w:sz="4" w:space="0" w:color="000000"/>
              <w:left w:val="nil"/>
              <w:bottom w:val="single" w:sz="4" w:space="0" w:color="000000"/>
              <w:right w:val="single" w:sz="4" w:space="0" w:color="000000"/>
            </w:tcBorders>
            <w:vAlign w:val="center"/>
          </w:tcPr>
          <w:p w:rsidR="00104817" w:rsidRDefault="00104817" w:rsidP="00C160A1">
            <w:pPr>
              <w:jc w:val="center"/>
              <w:rPr>
                <w:rFonts w:ascii="仿宋" w:eastAsia="仿宋" w:hAnsi="仿宋" w:cs="宋体"/>
                <w:b/>
                <w:bCs/>
                <w:color w:val="000000"/>
                <w:sz w:val="24"/>
              </w:rPr>
            </w:pPr>
            <w:r>
              <w:rPr>
                <w:rFonts w:ascii="仿宋" w:eastAsia="仿宋" w:hAnsi="仿宋" w:cs="宋体" w:hint="eastAsia"/>
                <w:b/>
                <w:bCs/>
                <w:color w:val="000000"/>
                <w:sz w:val="24"/>
              </w:rPr>
              <w:t>调研专题</w:t>
            </w:r>
          </w:p>
        </w:tc>
        <w:tc>
          <w:tcPr>
            <w:tcW w:w="917" w:type="dxa"/>
            <w:tcBorders>
              <w:top w:val="single" w:sz="4" w:space="0" w:color="000000"/>
              <w:left w:val="nil"/>
              <w:bottom w:val="single" w:sz="4" w:space="0" w:color="000000"/>
              <w:right w:val="single" w:sz="4" w:space="0" w:color="000000"/>
            </w:tcBorders>
            <w:vAlign w:val="center"/>
          </w:tcPr>
          <w:p w:rsidR="00104817" w:rsidRDefault="00104817" w:rsidP="00C160A1">
            <w:pPr>
              <w:jc w:val="center"/>
              <w:rPr>
                <w:rFonts w:ascii="仿宋" w:eastAsia="仿宋" w:hAnsi="仿宋" w:cs="宋体" w:hint="eastAsia"/>
                <w:b/>
                <w:bCs/>
                <w:color w:val="000000"/>
                <w:sz w:val="24"/>
              </w:rPr>
            </w:pPr>
            <w:proofErr w:type="gramStart"/>
            <w:r>
              <w:rPr>
                <w:rFonts w:ascii="仿宋" w:eastAsia="仿宋" w:hAnsi="仿宋" w:cs="宋体" w:hint="eastAsia"/>
                <w:b/>
                <w:bCs/>
                <w:color w:val="000000"/>
                <w:sz w:val="24"/>
              </w:rPr>
              <w:t>领题人</w:t>
            </w:r>
            <w:proofErr w:type="gramEnd"/>
          </w:p>
        </w:tc>
        <w:tc>
          <w:tcPr>
            <w:tcW w:w="1276" w:type="dxa"/>
            <w:tcBorders>
              <w:top w:val="single" w:sz="4" w:space="0" w:color="000000"/>
              <w:left w:val="nil"/>
              <w:bottom w:val="single" w:sz="4" w:space="0" w:color="000000"/>
              <w:right w:val="single" w:sz="4" w:space="0" w:color="000000"/>
            </w:tcBorders>
            <w:vAlign w:val="center"/>
          </w:tcPr>
          <w:p w:rsidR="00104817" w:rsidRDefault="00104817" w:rsidP="00C160A1">
            <w:pPr>
              <w:jc w:val="center"/>
              <w:rPr>
                <w:rFonts w:ascii="仿宋" w:eastAsia="仿宋" w:hAnsi="仿宋" w:cs="宋体" w:hint="eastAsia"/>
                <w:b/>
                <w:bCs/>
                <w:color w:val="000000"/>
                <w:sz w:val="24"/>
              </w:rPr>
            </w:pPr>
            <w:r>
              <w:rPr>
                <w:rFonts w:ascii="仿宋" w:eastAsia="仿宋" w:hAnsi="仿宋" w:cs="宋体" w:hint="eastAsia"/>
                <w:b/>
                <w:bCs/>
                <w:color w:val="000000"/>
                <w:sz w:val="24"/>
              </w:rPr>
              <w:t>参与教师</w:t>
            </w:r>
          </w:p>
        </w:tc>
      </w:tr>
      <w:tr w:rsidR="00104817" w:rsidTr="00C160A1">
        <w:trPr>
          <w:trHeight w:val="2040"/>
          <w:jc w:val="center"/>
        </w:trPr>
        <w:tc>
          <w:tcPr>
            <w:tcW w:w="1180" w:type="dxa"/>
            <w:vMerge w:val="restart"/>
            <w:tcBorders>
              <w:top w:val="nil"/>
              <w:left w:val="single" w:sz="4" w:space="0" w:color="000000"/>
              <w:bottom w:val="single" w:sz="4" w:space="0" w:color="000000"/>
              <w:right w:val="single" w:sz="4" w:space="0" w:color="000000"/>
            </w:tcBorders>
            <w:vAlign w:val="center"/>
          </w:tcPr>
          <w:p w:rsidR="00104817" w:rsidRDefault="00104817" w:rsidP="00C160A1">
            <w:pPr>
              <w:jc w:val="center"/>
              <w:rPr>
                <w:rFonts w:ascii="仿宋" w:eastAsia="仿宋" w:hAnsi="仿宋" w:cs="宋体"/>
                <w:color w:val="000000"/>
                <w:sz w:val="24"/>
              </w:rPr>
            </w:pPr>
            <w:r>
              <w:rPr>
                <w:rFonts w:ascii="仿宋" w:eastAsia="仿宋" w:hAnsi="仿宋" w:cs="宋体" w:hint="eastAsia"/>
                <w:color w:val="000000"/>
                <w:sz w:val="24"/>
              </w:rPr>
              <w:t>一、牢固树立“四个意识”（雷欣欣同志总负责）</w:t>
            </w:r>
          </w:p>
        </w:tc>
        <w:tc>
          <w:tcPr>
            <w:tcW w:w="6900"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color w:val="000000"/>
                <w:sz w:val="24"/>
              </w:rPr>
            </w:pPr>
            <w:r>
              <w:rPr>
                <w:rFonts w:ascii="仿宋" w:eastAsia="仿宋" w:hAnsi="仿宋" w:cs="宋体" w:hint="eastAsia"/>
                <w:color w:val="000000"/>
                <w:sz w:val="24"/>
              </w:rPr>
              <w:t>1.以政治建设为统领，深入学习贯彻习近平新时代中国特色社会主义思想、党的十九大精神和习近平总书记对内蒙古重要讲话重要指示精神，将其作为首要政治任务和头等大事，深刻把握其中蕴含的马克思主义立场观点方法，从中找寻思想再解放的思路、方法和答案。推动习近平新时代中国特色社会主义思想进教材、进课堂、进网络、进师生头脑，认真开展“爱祖国担大任做新人”等主题教育实践活动。</w:t>
            </w:r>
          </w:p>
        </w:tc>
        <w:tc>
          <w:tcPr>
            <w:tcW w:w="917" w:type="dxa"/>
            <w:tcBorders>
              <w:top w:val="nil"/>
              <w:left w:val="nil"/>
              <w:bottom w:val="single" w:sz="4" w:space="0" w:color="000000"/>
              <w:right w:val="single" w:sz="4" w:space="0" w:color="000000"/>
            </w:tcBorders>
            <w:vAlign w:val="center"/>
          </w:tcPr>
          <w:p w:rsidR="00104817" w:rsidRDefault="00104817" w:rsidP="00C160A1">
            <w:pPr>
              <w:jc w:val="center"/>
              <w:rPr>
                <w:rFonts w:ascii="仿宋" w:eastAsia="仿宋" w:hAnsi="仿宋" w:cs="宋体" w:hint="eastAsia"/>
                <w:color w:val="000000"/>
                <w:sz w:val="24"/>
              </w:rPr>
            </w:pPr>
            <w:r>
              <w:rPr>
                <w:rFonts w:ascii="仿宋" w:eastAsia="仿宋" w:hAnsi="仿宋" w:cs="宋体" w:hint="eastAsia"/>
                <w:color w:val="000000"/>
                <w:sz w:val="24"/>
              </w:rPr>
              <w:t>刘明宇</w:t>
            </w:r>
          </w:p>
        </w:tc>
        <w:tc>
          <w:tcPr>
            <w:tcW w:w="1276"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赵海波、郝春雨</w:t>
            </w:r>
          </w:p>
        </w:tc>
      </w:tr>
      <w:tr w:rsidR="00104817" w:rsidTr="00C160A1">
        <w:trPr>
          <w:trHeight w:val="2070"/>
          <w:jc w:val="center"/>
        </w:trPr>
        <w:tc>
          <w:tcPr>
            <w:tcW w:w="1180" w:type="dxa"/>
            <w:vMerge/>
            <w:tcBorders>
              <w:top w:val="nil"/>
              <w:left w:val="single" w:sz="4" w:space="0" w:color="000000"/>
              <w:bottom w:val="single" w:sz="4" w:space="0" w:color="000000"/>
              <w:right w:val="single" w:sz="4" w:space="0" w:color="000000"/>
            </w:tcBorders>
            <w:vAlign w:val="center"/>
          </w:tcPr>
          <w:p w:rsidR="00104817" w:rsidRDefault="00104817" w:rsidP="00C160A1">
            <w:pPr>
              <w:rPr>
                <w:rFonts w:ascii="仿宋" w:eastAsia="仿宋" w:hAnsi="仿宋" w:cs="宋体"/>
                <w:color w:val="000000"/>
                <w:sz w:val="24"/>
              </w:rPr>
            </w:pPr>
          </w:p>
        </w:tc>
        <w:tc>
          <w:tcPr>
            <w:tcW w:w="6900"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color w:val="000000"/>
                <w:sz w:val="24"/>
              </w:rPr>
            </w:pPr>
            <w:r>
              <w:rPr>
                <w:rFonts w:ascii="仿宋" w:eastAsia="仿宋" w:hAnsi="仿宋" w:cs="宋体" w:hint="eastAsia"/>
                <w:color w:val="000000"/>
                <w:sz w:val="24"/>
              </w:rPr>
              <w:t>2.重点学习讨论如何使全体师生更加全面理解和把握学校第三次党代会精神，切实把思想和行动统一到学校党委的决策部署上来，进一步增强“四个意识”、坚定“四个自信”、坚决做到“两个维护”，以爱岗敬业为载体、以履职尽责为根本，不断提升改革创新的本领、狠抓落实的能力和敬业担当的自觉，以更加有力的行动和举措促进学校教育教学事业发展。</w:t>
            </w:r>
          </w:p>
        </w:tc>
        <w:tc>
          <w:tcPr>
            <w:tcW w:w="917" w:type="dxa"/>
            <w:tcBorders>
              <w:top w:val="nil"/>
              <w:left w:val="nil"/>
              <w:bottom w:val="single" w:sz="4" w:space="0" w:color="000000"/>
              <w:right w:val="single" w:sz="4" w:space="0" w:color="000000"/>
            </w:tcBorders>
            <w:vAlign w:val="center"/>
          </w:tcPr>
          <w:p w:rsidR="00104817" w:rsidRDefault="00104817" w:rsidP="00C160A1">
            <w:pPr>
              <w:jc w:val="center"/>
              <w:rPr>
                <w:rFonts w:ascii="仿宋" w:eastAsia="仿宋" w:hAnsi="仿宋" w:cs="宋体" w:hint="eastAsia"/>
                <w:color w:val="000000"/>
                <w:sz w:val="24"/>
              </w:rPr>
            </w:pPr>
            <w:r>
              <w:rPr>
                <w:rFonts w:ascii="仿宋" w:eastAsia="仿宋" w:hAnsi="仿宋" w:cs="宋体" w:hint="eastAsia"/>
                <w:color w:val="000000"/>
                <w:sz w:val="24"/>
              </w:rPr>
              <w:t>雷欣欣</w:t>
            </w:r>
          </w:p>
        </w:tc>
        <w:tc>
          <w:tcPr>
            <w:tcW w:w="1276"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赵海波、刘明宇、</w:t>
            </w:r>
            <w:proofErr w:type="gramStart"/>
            <w:r>
              <w:rPr>
                <w:rFonts w:ascii="仿宋" w:eastAsia="仿宋" w:hAnsi="仿宋" w:cs="宋体" w:hint="eastAsia"/>
                <w:color w:val="000000"/>
                <w:sz w:val="24"/>
              </w:rPr>
              <w:t>潘</w:t>
            </w:r>
            <w:proofErr w:type="gramEnd"/>
            <w:r>
              <w:rPr>
                <w:rFonts w:ascii="仿宋" w:eastAsia="仿宋" w:hAnsi="仿宋" w:cs="宋体" w:hint="eastAsia"/>
                <w:color w:val="000000"/>
                <w:sz w:val="24"/>
              </w:rPr>
              <w:t>红霞</w:t>
            </w:r>
          </w:p>
        </w:tc>
      </w:tr>
      <w:tr w:rsidR="00104817" w:rsidTr="00C160A1">
        <w:trPr>
          <w:trHeight w:val="1125"/>
          <w:jc w:val="center"/>
        </w:trPr>
        <w:tc>
          <w:tcPr>
            <w:tcW w:w="1180" w:type="dxa"/>
            <w:vMerge w:val="restart"/>
            <w:tcBorders>
              <w:top w:val="nil"/>
              <w:left w:val="single" w:sz="4" w:space="0" w:color="000000"/>
              <w:bottom w:val="single" w:sz="4" w:space="0" w:color="000000"/>
              <w:right w:val="single" w:sz="4" w:space="0" w:color="000000"/>
            </w:tcBorders>
            <w:vAlign w:val="center"/>
          </w:tcPr>
          <w:p w:rsidR="00104817" w:rsidRDefault="00104817" w:rsidP="00C160A1">
            <w:pPr>
              <w:jc w:val="center"/>
              <w:rPr>
                <w:rFonts w:ascii="仿宋" w:eastAsia="仿宋" w:hAnsi="仿宋" w:cs="宋体"/>
                <w:color w:val="000000"/>
                <w:sz w:val="24"/>
              </w:rPr>
            </w:pPr>
            <w:r>
              <w:rPr>
                <w:rFonts w:ascii="仿宋" w:eastAsia="仿宋" w:hAnsi="仿宋" w:cs="宋体" w:hint="eastAsia"/>
                <w:color w:val="000000"/>
                <w:sz w:val="24"/>
              </w:rPr>
              <w:t>二、办好优质公平的教育、推动高质量发展（靳洪玲同志总负责）</w:t>
            </w:r>
          </w:p>
        </w:tc>
        <w:tc>
          <w:tcPr>
            <w:tcW w:w="6900"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3.激发教师队伍活力，合理配置教师资源，规范外聘教师行为。推动学校、企业之间教师双向流动，为教育发展提供坚强的保障。</w:t>
            </w:r>
          </w:p>
        </w:tc>
        <w:tc>
          <w:tcPr>
            <w:tcW w:w="917" w:type="dxa"/>
            <w:tcBorders>
              <w:top w:val="nil"/>
              <w:left w:val="single" w:sz="4" w:space="0" w:color="000000"/>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靳洪玲</w:t>
            </w:r>
          </w:p>
        </w:tc>
        <w:tc>
          <w:tcPr>
            <w:tcW w:w="1276"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赵海波、戴春梅</w:t>
            </w:r>
          </w:p>
        </w:tc>
      </w:tr>
      <w:tr w:rsidR="00104817" w:rsidTr="00C160A1">
        <w:trPr>
          <w:trHeight w:val="900"/>
          <w:jc w:val="center"/>
        </w:trPr>
        <w:tc>
          <w:tcPr>
            <w:tcW w:w="1180" w:type="dxa"/>
            <w:vMerge/>
            <w:tcBorders>
              <w:top w:val="nil"/>
              <w:left w:val="single" w:sz="4" w:space="0" w:color="000000"/>
              <w:bottom w:val="single" w:sz="4" w:space="0" w:color="000000"/>
              <w:right w:val="single" w:sz="4" w:space="0" w:color="000000"/>
            </w:tcBorders>
            <w:vAlign w:val="center"/>
          </w:tcPr>
          <w:p w:rsidR="00104817" w:rsidRDefault="00104817" w:rsidP="00C160A1">
            <w:pPr>
              <w:rPr>
                <w:rFonts w:ascii="仿宋" w:eastAsia="仿宋" w:hAnsi="仿宋" w:cs="宋体"/>
                <w:color w:val="000000"/>
                <w:sz w:val="24"/>
              </w:rPr>
            </w:pPr>
          </w:p>
        </w:tc>
        <w:tc>
          <w:tcPr>
            <w:tcW w:w="6900"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4.推动课堂教学建设不断深化，督促指导《以简易方式评价教师课堂教学的意见》，从注重“听”向“听评并重”转变，用好评价结果，推动课堂教学质量不断提升。</w:t>
            </w:r>
          </w:p>
        </w:tc>
        <w:tc>
          <w:tcPr>
            <w:tcW w:w="917" w:type="dxa"/>
            <w:tcBorders>
              <w:top w:val="nil"/>
              <w:left w:val="single" w:sz="4" w:space="0" w:color="000000"/>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赵海波</w:t>
            </w:r>
          </w:p>
        </w:tc>
        <w:tc>
          <w:tcPr>
            <w:tcW w:w="1276"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戴春梅、狄继芳</w:t>
            </w:r>
          </w:p>
        </w:tc>
      </w:tr>
      <w:tr w:rsidR="00104817" w:rsidTr="00C160A1">
        <w:trPr>
          <w:trHeight w:val="1401"/>
          <w:jc w:val="center"/>
        </w:trPr>
        <w:tc>
          <w:tcPr>
            <w:tcW w:w="1180" w:type="dxa"/>
            <w:vMerge/>
            <w:tcBorders>
              <w:top w:val="nil"/>
              <w:left w:val="single" w:sz="4" w:space="0" w:color="000000"/>
              <w:bottom w:val="single" w:sz="4" w:space="0" w:color="000000"/>
              <w:right w:val="single" w:sz="4" w:space="0" w:color="000000"/>
            </w:tcBorders>
            <w:vAlign w:val="center"/>
          </w:tcPr>
          <w:p w:rsidR="00104817" w:rsidRDefault="00104817" w:rsidP="00C160A1">
            <w:pPr>
              <w:rPr>
                <w:rFonts w:ascii="仿宋" w:eastAsia="仿宋" w:hAnsi="仿宋" w:cs="宋体"/>
                <w:color w:val="000000"/>
                <w:sz w:val="24"/>
              </w:rPr>
            </w:pPr>
          </w:p>
        </w:tc>
        <w:tc>
          <w:tcPr>
            <w:tcW w:w="6900"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5.修订《专业教学标准》，落实德智体美劳全面发展、推动理实一体、产教融合等要求，为附属中专的良性发展奠定基础。深化产教融合、校企合作，梳理现有的校企合作资源，</w:t>
            </w:r>
            <w:proofErr w:type="gramStart"/>
            <w:r>
              <w:rPr>
                <w:rFonts w:ascii="仿宋" w:eastAsia="仿宋" w:hAnsi="仿宋" w:cs="宋体" w:hint="eastAsia"/>
                <w:color w:val="000000"/>
                <w:sz w:val="24"/>
              </w:rPr>
              <w:t>推动引企入教</w:t>
            </w:r>
            <w:proofErr w:type="gramEnd"/>
            <w:r>
              <w:rPr>
                <w:rFonts w:ascii="仿宋" w:eastAsia="仿宋" w:hAnsi="仿宋" w:cs="宋体" w:hint="eastAsia"/>
                <w:color w:val="000000"/>
                <w:sz w:val="24"/>
              </w:rPr>
              <w:t>，充分调动企业参与教育教学，形成校企互惠互利、合作共赢的良性互动格局。</w:t>
            </w:r>
          </w:p>
        </w:tc>
        <w:tc>
          <w:tcPr>
            <w:tcW w:w="917" w:type="dxa"/>
            <w:tcBorders>
              <w:top w:val="nil"/>
              <w:left w:val="single" w:sz="4" w:space="0" w:color="000000"/>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靳洪玲</w:t>
            </w:r>
          </w:p>
        </w:tc>
        <w:tc>
          <w:tcPr>
            <w:tcW w:w="1276"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赵海波、刘明宇</w:t>
            </w:r>
          </w:p>
        </w:tc>
      </w:tr>
      <w:tr w:rsidR="00104817" w:rsidTr="00C160A1">
        <w:trPr>
          <w:trHeight w:val="1170"/>
          <w:jc w:val="center"/>
        </w:trPr>
        <w:tc>
          <w:tcPr>
            <w:tcW w:w="1180" w:type="dxa"/>
            <w:vMerge w:val="restart"/>
            <w:tcBorders>
              <w:top w:val="nil"/>
              <w:left w:val="single" w:sz="4" w:space="0" w:color="000000"/>
              <w:bottom w:val="single" w:sz="4" w:space="0" w:color="000000"/>
              <w:right w:val="single" w:sz="4" w:space="0" w:color="000000"/>
            </w:tcBorders>
            <w:vAlign w:val="center"/>
          </w:tcPr>
          <w:p w:rsidR="00104817" w:rsidRDefault="00104817" w:rsidP="00C160A1">
            <w:pPr>
              <w:jc w:val="center"/>
              <w:rPr>
                <w:rFonts w:ascii="仿宋" w:eastAsia="仿宋" w:hAnsi="仿宋" w:cs="宋体"/>
                <w:color w:val="000000"/>
                <w:sz w:val="24"/>
              </w:rPr>
            </w:pPr>
            <w:r>
              <w:rPr>
                <w:rFonts w:ascii="仿宋" w:eastAsia="仿宋" w:hAnsi="仿宋" w:cs="宋体" w:hint="eastAsia"/>
                <w:color w:val="000000"/>
                <w:sz w:val="24"/>
              </w:rPr>
              <w:lastRenderedPageBreak/>
              <w:t>三、扎实推进校园安全稳定（雷欣欣同志总负责）</w:t>
            </w:r>
          </w:p>
        </w:tc>
        <w:tc>
          <w:tcPr>
            <w:tcW w:w="6900"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sz w:val="24"/>
              </w:rPr>
            </w:pPr>
            <w:r>
              <w:rPr>
                <w:rFonts w:ascii="仿宋" w:eastAsia="仿宋" w:hAnsi="仿宋" w:cs="宋体" w:hint="eastAsia"/>
                <w:sz w:val="24"/>
              </w:rPr>
              <w:t>6.落实意识形态责任制，坚持立德树人，强化思想引领，牢牢把握意识形态工作领导权。开展“校领导深入班级开班会”“与师生座谈”等活动</w:t>
            </w:r>
          </w:p>
        </w:tc>
        <w:tc>
          <w:tcPr>
            <w:tcW w:w="917" w:type="dxa"/>
            <w:tcBorders>
              <w:top w:val="nil"/>
              <w:left w:val="single" w:sz="4" w:space="0" w:color="000000"/>
              <w:bottom w:val="single" w:sz="4" w:space="0" w:color="000000"/>
              <w:right w:val="single" w:sz="4" w:space="0" w:color="000000"/>
            </w:tcBorders>
            <w:vAlign w:val="center"/>
          </w:tcPr>
          <w:p w:rsidR="00104817" w:rsidRDefault="00104817" w:rsidP="00C160A1">
            <w:pPr>
              <w:jc w:val="center"/>
              <w:rPr>
                <w:rFonts w:ascii="仿宋" w:eastAsia="仿宋" w:hAnsi="仿宋" w:cs="宋体" w:hint="eastAsia"/>
                <w:color w:val="000000"/>
                <w:sz w:val="24"/>
              </w:rPr>
            </w:pPr>
            <w:r>
              <w:rPr>
                <w:rFonts w:ascii="仿宋" w:eastAsia="仿宋" w:hAnsi="仿宋" w:cs="宋体" w:hint="eastAsia"/>
                <w:color w:val="000000"/>
                <w:sz w:val="24"/>
              </w:rPr>
              <w:t>雷欣欣</w:t>
            </w:r>
          </w:p>
        </w:tc>
        <w:tc>
          <w:tcPr>
            <w:tcW w:w="1276"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刘明宇、赵海波</w:t>
            </w:r>
          </w:p>
        </w:tc>
      </w:tr>
      <w:tr w:rsidR="00104817" w:rsidTr="00C160A1">
        <w:trPr>
          <w:trHeight w:val="570"/>
          <w:jc w:val="center"/>
        </w:trPr>
        <w:tc>
          <w:tcPr>
            <w:tcW w:w="1180" w:type="dxa"/>
            <w:vMerge/>
            <w:tcBorders>
              <w:top w:val="nil"/>
              <w:left w:val="single" w:sz="4" w:space="0" w:color="000000"/>
              <w:bottom w:val="single" w:sz="4" w:space="0" w:color="000000"/>
              <w:right w:val="single" w:sz="4" w:space="0" w:color="000000"/>
            </w:tcBorders>
            <w:vAlign w:val="center"/>
          </w:tcPr>
          <w:p w:rsidR="00104817" w:rsidRDefault="00104817" w:rsidP="00C160A1">
            <w:pPr>
              <w:rPr>
                <w:rFonts w:ascii="仿宋" w:eastAsia="仿宋" w:hAnsi="仿宋" w:cs="宋体"/>
                <w:color w:val="000000"/>
                <w:sz w:val="24"/>
              </w:rPr>
            </w:pPr>
          </w:p>
        </w:tc>
        <w:tc>
          <w:tcPr>
            <w:tcW w:w="6900"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color w:val="000000"/>
                <w:sz w:val="24"/>
              </w:rPr>
            </w:pPr>
            <w:r>
              <w:rPr>
                <w:rFonts w:ascii="仿宋" w:eastAsia="仿宋" w:hAnsi="仿宋" w:cs="宋体" w:hint="eastAsia"/>
                <w:color w:val="000000"/>
                <w:sz w:val="24"/>
              </w:rPr>
              <w:t>7.深入</w:t>
            </w:r>
            <w:proofErr w:type="gramStart"/>
            <w:r>
              <w:rPr>
                <w:rFonts w:ascii="仿宋" w:eastAsia="仿宋" w:hAnsi="仿宋" w:cs="宋体" w:hint="eastAsia"/>
                <w:color w:val="000000"/>
                <w:sz w:val="24"/>
              </w:rPr>
              <w:t>践行</w:t>
            </w:r>
            <w:proofErr w:type="gramEnd"/>
            <w:r>
              <w:rPr>
                <w:rFonts w:ascii="仿宋" w:eastAsia="仿宋" w:hAnsi="仿宋" w:cs="宋体" w:hint="eastAsia"/>
                <w:color w:val="000000"/>
                <w:sz w:val="24"/>
              </w:rPr>
              <w:t>守望相助理念，深化民族团结进步教育，共同创造美好生活</w:t>
            </w:r>
          </w:p>
        </w:tc>
        <w:tc>
          <w:tcPr>
            <w:tcW w:w="917" w:type="dxa"/>
            <w:tcBorders>
              <w:top w:val="nil"/>
              <w:left w:val="single" w:sz="4" w:space="0" w:color="000000"/>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刘明宇</w:t>
            </w:r>
          </w:p>
        </w:tc>
        <w:tc>
          <w:tcPr>
            <w:tcW w:w="1276"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包达林台</w:t>
            </w:r>
          </w:p>
        </w:tc>
      </w:tr>
      <w:tr w:rsidR="00104817" w:rsidTr="00C160A1">
        <w:trPr>
          <w:trHeight w:val="855"/>
          <w:jc w:val="center"/>
        </w:trPr>
        <w:tc>
          <w:tcPr>
            <w:tcW w:w="1180" w:type="dxa"/>
            <w:vMerge/>
            <w:tcBorders>
              <w:top w:val="nil"/>
              <w:left w:val="single" w:sz="4" w:space="0" w:color="000000"/>
              <w:bottom w:val="single" w:sz="4" w:space="0" w:color="000000"/>
              <w:right w:val="single" w:sz="4" w:space="0" w:color="000000"/>
            </w:tcBorders>
            <w:vAlign w:val="center"/>
          </w:tcPr>
          <w:p w:rsidR="00104817" w:rsidRDefault="00104817" w:rsidP="00C160A1">
            <w:pPr>
              <w:rPr>
                <w:rFonts w:ascii="仿宋" w:eastAsia="仿宋" w:hAnsi="仿宋" w:cs="宋体"/>
                <w:color w:val="000000"/>
                <w:sz w:val="24"/>
              </w:rPr>
            </w:pPr>
          </w:p>
        </w:tc>
        <w:tc>
          <w:tcPr>
            <w:tcW w:w="6900"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color w:val="000000"/>
                <w:sz w:val="24"/>
              </w:rPr>
            </w:pPr>
            <w:r>
              <w:rPr>
                <w:rFonts w:ascii="仿宋" w:eastAsia="仿宋" w:hAnsi="仿宋" w:cs="宋体" w:hint="eastAsia"/>
                <w:color w:val="000000"/>
                <w:sz w:val="24"/>
              </w:rPr>
              <w:t>8.实时监控非法宗教活动、传播非法言论等苗头和线索，防范非法宗教势力向校园渗透，共同创造平安校园</w:t>
            </w:r>
          </w:p>
        </w:tc>
        <w:tc>
          <w:tcPr>
            <w:tcW w:w="917" w:type="dxa"/>
            <w:tcBorders>
              <w:top w:val="nil"/>
              <w:left w:val="single" w:sz="4" w:space="0" w:color="000000"/>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刘明宇</w:t>
            </w:r>
          </w:p>
        </w:tc>
        <w:tc>
          <w:tcPr>
            <w:tcW w:w="1276"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包达林台</w:t>
            </w:r>
          </w:p>
        </w:tc>
      </w:tr>
      <w:tr w:rsidR="00104817" w:rsidTr="00C160A1">
        <w:trPr>
          <w:trHeight w:val="735"/>
          <w:jc w:val="center"/>
        </w:trPr>
        <w:tc>
          <w:tcPr>
            <w:tcW w:w="1180" w:type="dxa"/>
            <w:vMerge/>
            <w:tcBorders>
              <w:top w:val="nil"/>
              <w:left w:val="single" w:sz="4" w:space="0" w:color="000000"/>
              <w:bottom w:val="single" w:sz="4" w:space="0" w:color="000000"/>
              <w:right w:val="single" w:sz="4" w:space="0" w:color="000000"/>
            </w:tcBorders>
            <w:vAlign w:val="center"/>
          </w:tcPr>
          <w:p w:rsidR="00104817" w:rsidRDefault="00104817" w:rsidP="00C160A1">
            <w:pPr>
              <w:rPr>
                <w:rFonts w:ascii="仿宋" w:eastAsia="仿宋" w:hAnsi="仿宋" w:cs="宋体"/>
                <w:color w:val="000000"/>
                <w:sz w:val="24"/>
              </w:rPr>
            </w:pPr>
          </w:p>
        </w:tc>
        <w:tc>
          <w:tcPr>
            <w:tcW w:w="6900"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color w:val="000000"/>
                <w:sz w:val="24"/>
              </w:rPr>
            </w:pPr>
            <w:r>
              <w:rPr>
                <w:rFonts w:ascii="仿宋" w:eastAsia="仿宋" w:hAnsi="仿宋" w:cs="宋体" w:hint="eastAsia"/>
                <w:color w:val="000000"/>
                <w:sz w:val="24"/>
              </w:rPr>
              <w:t>9.实时监控网络舆情动向，提高应对风险能力，共同营造良好网络环境</w:t>
            </w:r>
          </w:p>
        </w:tc>
        <w:tc>
          <w:tcPr>
            <w:tcW w:w="917" w:type="dxa"/>
            <w:tcBorders>
              <w:top w:val="nil"/>
              <w:left w:val="single" w:sz="4" w:space="0" w:color="000000"/>
              <w:bottom w:val="single" w:sz="4" w:space="0" w:color="000000"/>
              <w:right w:val="single" w:sz="4" w:space="0" w:color="000000"/>
            </w:tcBorders>
            <w:vAlign w:val="center"/>
          </w:tcPr>
          <w:p w:rsidR="00104817" w:rsidRDefault="00104817" w:rsidP="00C160A1">
            <w:pPr>
              <w:rPr>
                <w:rFonts w:ascii="仿宋" w:eastAsia="仿宋" w:hAnsi="仿宋" w:cs="宋体"/>
                <w:color w:val="000000"/>
                <w:sz w:val="24"/>
              </w:rPr>
            </w:pPr>
            <w:r>
              <w:rPr>
                <w:rFonts w:ascii="仿宋" w:eastAsia="仿宋" w:hAnsi="仿宋" w:cs="宋体" w:hint="eastAsia"/>
                <w:color w:val="000000"/>
                <w:sz w:val="24"/>
              </w:rPr>
              <w:t>雷欣欣</w:t>
            </w:r>
          </w:p>
        </w:tc>
        <w:tc>
          <w:tcPr>
            <w:tcW w:w="1276"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刘明宇、郝春雨</w:t>
            </w:r>
          </w:p>
        </w:tc>
      </w:tr>
      <w:tr w:rsidR="00104817" w:rsidTr="00C160A1">
        <w:trPr>
          <w:trHeight w:val="1125"/>
          <w:jc w:val="center"/>
        </w:trPr>
        <w:tc>
          <w:tcPr>
            <w:tcW w:w="1180" w:type="dxa"/>
            <w:vMerge w:val="restart"/>
            <w:tcBorders>
              <w:top w:val="nil"/>
              <w:left w:val="single" w:sz="4" w:space="0" w:color="000000"/>
              <w:bottom w:val="single" w:sz="4" w:space="0" w:color="000000"/>
              <w:right w:val="single" w:sz="4" w:space="0" w:color="000000"/>
            </w:tcBorders>
            <w:vAlign w:val="center"/>
          </w:tcPr>
          <w:p w:rsidR="00104817" w:rsidRDefault="00104817" w:rsidP="00C160A1">
            <w:pPr>
              <w:jc w:val="center"/>
              <w:rPr>
                <w:rFonts w:ascii="仿宋" w:eastAsia="仿宋" w:hAnsi="仿宋" w:cs="宋体"/>
                <w:color w:val="000000"/>
                <w:sz w:val="24"/>
              </w:rPr>
            </w:pPr>
            <w:r>
              <w:rPr>
                <w:rFonts w:ascii="仿宋" w:eastAsia="仿宋" w:hAnsi="仿宋" w:cs="宋体" w:hint="eastAsia"/>
                <w:color w:val="000000"/>
                <w:sz w:val="24"/>
              </w:rPr>
              <w:t>四、提升干部队伍能力（雷欣欣同志总负责）</w:t>
            </w:r>
          </w:p>
        </w:tc>
        <w:tc>
          <w:tcPr>
            <w:tcW w:w="6900"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color w:val="000000"/>
                <w:sz w:val="24"/>
              </w:rPr>
            </w:pPr>
            <w:r>
              <w:rPr>
                <w:rFonts w:ascii="仿宋" w:eastAsia="仿宋" w:hAnsi="仿宋" w:cs="宋体" w:hint="eastAsia"/>
                <w:color w:val="000000"/>
                <w:sz w:val="24"/>
              </w:rPr>
              <w:t>10.坚持党管干部原则，加快建设一支高素质干部队伍。加强干部学习与培训，增强领导干部工作本领。</w:t>
            </w:r>
          </w:p>
        </w:tc>
        <w:tc>
          <w:tcPr>
            <w:tcW w:w="917" w:type="dxa"/>
            <w:tcBorders>
              <w:top w:val="nil"/>
              <w:left w:val="nil"/>
              <w:bottom w:val="single" w:sz="4" w:space="0" w:color="000000"/>
              <w:right w:val="single" w:sz="4" w:space="0" w:color="000000"/>
            </w:tcBorders>
            <w:vAlign w:val="center"/>
          </w:tcPr>
          <w:p w:rsidR="00104817" w:rsidRDefault="00104817" w:rsidP="00C160A1">
            <w:pPr>
              <w:jc w:val="center"/>
              <w:rPr>
                <w:rFonts w:ascii="仿宋" w:eastAsia="仿宋" w:hAnsi="仿宋" w:cs="宋体" w:hint="eastAsia"/>
                <w:color w:val="000000"/>
                <w:sz w:val="24"/>
              </w:rPr>
            </w:pPr>
            <w:r>
              <w:rPr>
                <w:rFonts w:ascii="仿宋" w:eastAsia="仿宋" w:hAnsi="仿宋" w:cs="宋体" w:hint="eastAsia"/>
                <w:color w:val="000000"/>
                <w:sz w:val="24"/>
              </w:rPr>
              <w:t>雷欣欣</w:t>
            </w:r>
          </w:p>
        </w:tc>
        <w:tc>
          <w:tcPr>
            <w:tcW w:w="1276"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靳洪玲、戴春梅、包达林台</w:t>
            </w:r>
          </w:p>
        </w:tc>
      </w:tr>
      <w:tr w:rsidR="00104817" w:rsidTr="00C160A1">
        <w:trPr>
          <w:trHeight w:val="960"/>
          <w:jc w:val="center"/>
        </w:trPr>
        <w:tc>
          <w:tcPr>
            <w:tcW w:w="1180" w:type="dxa"/>
            <w:vMerge/>
            <w:tcBorders>
              <w:top w:val="nil"/>
              <w:left w:val="single" w:sz="4" w:space="0" w:color="000000"/>
              <w:bottom w:val="single" w:sz="4" w:space="0" w:color="000000"/>
              <w:right w:val="single" w:sz="4" w:space="0" w:color="000000"/>
            </w:tcBorders>
            <w:vAlign w:val="center"/>
          </w:tcPr>
          <w:p w:rsidR="00104817" w:rsidRDefault="00104817" w:rsidP="00C160A1">
            <w:pPr>
              <w:rPr>
                <w:rFonts w:ascii="仿宋" w:eastAsia="仿宋" w:hAnsi="仿宋" w:cs="宋体"/>
                <w:color w:val="000000"/>
                <w:sz w:val="24"/>
              </w:rPr>
            </w:pPr>
          </w:p>
        </w:tc>
        <w:tc>
          <w:tcPr>
            <w:tcW w:w="6900"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color w:val="000000"/>
                <w:sz w:val="24"/>
              </w:rPr>
            </w:pPr>
            <w:r>
              <w:rPr>
                <w:rFonts w:ascii="仿宋" w:eastAsia="仿宋" w:hAnsi="仿宋" w:cs="宋体" w:hint="eastAsia"/>
                <w:color w:val="000000"/>
                <w:sz w:val="24"/>
              </w:rPr>
              <w:t>11.坚持问题导向，重点整治“四官”问题，净化政治生态，转变干部作风。</w:t>
            </w:r>
          </w:p>
        </w:tc>
        <w:tc>
          <w:tcPr>
            <w:tcW w:w="917"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Cs w:val="21"/>
              </w:rPr>
            </w:pPr>
            <w:r>
              <w:rPr>
                <w:rFonts w:ascii="仿宋" w:eastAsia="仿宋" w:hAnsi="仿宋" w:cs="宋体" w:hint="eastAsia"/>
                <w:color w:val="000000"/>
                <w:sz w:val="24"/>
              </w:rPr>
              <w:t>雷欣欣</w:t>
            </w:r>
          </w:p>
        </w:tc>
        <w:tc>
          <w:tcPr>
            <w:tcW w:w="1276" w:type="dxa"/>
            <w:tcBorders>
              <w:top w:val="nil"/>
              <w:left w:val="nil"/>
              <w:bottom w:val="single" w:sz="4" w:space="0" w:color="000000"/>
              <w:right w:val="single" w:sz="4" w:space="0" w:color="000000"/>
            </w:tcBorders>
            <w:vAlign w:val="center"/>
          </w:tcPr>
          <w:p w:rsidR="00104817" w:rsidRDefault="00104817" w:rsidP="00C160A1">
            <w:pPr>
              <w:rPr>
                <w:rFonts w:ascii="仿宋" w:eastAsia="仿宋" w:hAnsi="仿宋" w:cs="宋体" w:hint="eastAsia"/>
                <w:color w:val="000000"/>
                <w:sz w:val="24"/>
              </w:rPr>
            </w:pPr>
            <w:r>
              <w:rPr>
                <w:rFonts w:ascii="仿宋" w:eastAsia="仿宋" w:hAnsi="仿宋" w:cs="宋体" w:hint="eastAsia"/>
                <w:color w:val="000000"/>
                <w:sz w:val="24"/>
              </w:rPr>
              <w:t>刘明宇、包达林台</w:t>
            </w:r>
          </w:p>
        </w:tc>
      </w:tr>
    </w:tbl>
    <w:p w:rsidR="008B35DA" w:rsidRPr="00104817" w:rsidRDefault="00104817" w:rsidP="00104817">
      <w:pPr>
        <w:pStyle w:val="a5"/>
        <w:tabs>
          <w:tab w:val="center" w:pos="4153"/>
        </w:tabs>
        <w:spacing w:beforeAutospacing="0" w:afterAutospacing="0" w:line="520" w:lineRule="exact"/>
        <w:ind w:firstLineChars="200" w:firstLine="640"/>
        <w:jc w:val="both"/>
        <w:rPr>
          <w:rFonts w:ascii="仿宋" w:eastAsia="仿宋" w:hAnsi="仿宋" w:cs="Times New Roman"/>
          <w:kern w:val="2"/>
          <w:sz w:val="32"/>
          <w:szCs w:val="32"/>
        </w:rPr>
      </w:pPr>
      <w:proofErr w:type="gramStart"/>
      <w:r>
        <w:rPr>
          <w:rFonts w:ascii="仿宋" w:eastAsia="仿宋" w:hAnsi="仿宋" w:cs="Times New Roman" w:hint="eastAsia"/>
          <w:kern w:val="2"/>
          <w:sz w:val="32"/>
          <w:szCs w:val="32"/>
        </w:rPr>
        <w:t>领题的</w:t>
      </w:r>
      <w:proofErr w:type="gramEnd"/>
      <w:r>
        <w:rPr>
          <w:rFonts w:ascii="仿宋" w:eastAsia="仿宋" w:hAnsi="仿宋" w:cs="Times New Roman" w:hint="eastAsia"/>
          <w:kern w:val="2"/>
          <w:sz w:val="32"/>
          <w:szCs w:val="32"/>
        </w:rPr>
        <w:t>领导同志要切实负起责任，组织带队开展好调研，提出务实管用的意见、措施和办法，于6月15日前形成专题对策建议报告，报附属中专党总支大学习大讨论领导小组材料组。</w:t>
      </w:r>
    </w:p>
    <w:sectPr w:rsidR="008B35DA" w:rsidRPr="001048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782" w:rsidRDefault="003F6782" w:rsidP="00104817">
      <w:pPr>
        <w:spacing w:after="0"/>
      </w:pPr>
      <w:r>
        <w:separator/>
      </w:r>
    </w:p>
  </w:endnote>
  <w:endnote w:type="continuationSeparator" w:id="0">
    <w:p w:rsidR="003F6782" w:rsidRDefault="003F6782" w:rsidP="001048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782" w:rsidRDefault="003F6782" w:rsidP="00104817">
      <w:pPr>
        <w:spacing w:after="0"/>
      </w:pPr>
      <w:r>
        <w:separator/>
      </w:r>
    </w:p>
  </w:footnote>
  <w:footnote w:type="continuationSeparator" w:id="0">
    <w:p w:rsidR="003F6782" w:rsidRDefault="003F6782" w:rsidP="0010481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63"/>
    <w:rsid w:val="00104817"/>
    <w:rsid w:val="00391D63"/>
    <w:rsid w:val="003F6782"/>
    <w:rsid w:val="008B3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817"/>
    <w:pPr>
      <w:adjustRightInd w:val="0"/>
      <w:snapToGrid w:val="0"/>
      <w:spacing w:after="200"/>
    </w:pPr>
    <w:rPr>
      <w:rFonts w:ascii="Tahoma" w:eastAsia="宋体"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4817"/>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104817"/>
    <w:rPr>
      <w:sz w:val="18"/>
      <w:szCs w:val="18"/>
    </w:rPr>
  </w:style>
  <w:style w:type="paragraph" w:styleId="a4">
    <w:name w:val="footer"/>
    <w:basedOn w:val="a"/>
    <w:link w:val="Char0"/>
    <w:uiPriority w:val="99"/>
    <w:unhideWhenUsed/>
    <w:rsid w:val="00104817"/>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104817"/>
    <w:rPr>
      <w:sz w:val="18"/>
      <w:szCs w:val="18"/>
    </w:rPr>
  </w:style>
  <w:style w:type="paragraph" w:styleId="a5">
    <w:name w:val="Normal (Web)"/>
    <w:basedOn w:val="a"/>
    <w:unhideWhenUsed/>
    <w:rsid w:val="00104817"/>
    <w:pPr>
      <w:adjustRightInd/>
      <w:snapToGrid/>
      <w:spacing w:before="100" w:beforeAutospacing="1" w:after="100" w:afterAutospacing="1"/>
    </w:pPr>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817"/>
    <w:pPr>
      <w:adjustRightInd w:val="0"/>
      <w:snapToGrid w:val="0"/>
      <w:spacing w:after="200"/>
    </w:pPr>
    <w:rPr>
      <w:rFonts w:ascii="Tahoma" w:eastAsia="宋体"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4817"/>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104817"/>
    <w:rPr>
      <w:sz w:val="18"/>
      <w:szCs w:val="18"/>
    </w:rPr>
  </w:style>
  <w:style w:type="paragraph" w:styleId="a4">
    <w:name w:val="footer"/>
    <w:basedOn w:val="a"/>
    <w:link w:val="Char0"/>
    <w:uiPriority w:val="99"/>
    <w:unhideWhenUsed/>
    <w:rsid w:val="00104817"/>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104817"/>
    <w:rPr>
      <w:sz w:val="18"/>
      <w:szCs w:val="18"/>
    </w:rPr>
  </w:style>
  <w:style w:type="paragraph" w:styleId="a5">
    <w:name w:val="Normal (Web)"/>
    <w:basedOn w:val="a"/>
    <w:unhideWhenUsed/>
    <w:rsid w:val="00104817"/>
    <w:pPr>
      <w:adjustRightInd/>
      <w:snapToGrid/>
      <w:spacing w:before="100" w:beforeAutospacing="1" w:after="100" w:afterAutospacing="1"/>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1099</Characters>
  <Application>Microsoft Office Word</Application>
  <DocSecurity>0</DocSecurity>
  <Lines>9</Lines>
  <Paragraphs>2</Paragraphs>
  <ScaleCrop>false</ScaleCrop>
  <Company>china</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牧飞</dc:creator>
  <cp:keywords/>
  <dc:description/>
  <cp:lastModifiedBy>牧飞</cp:lastModifiedBy>
  <cp:revision>2</cp:revision>
  <dcterms:created xsi:type="dcterms:W3CDTF">2019-06-03T12:21:00Z</dcterms:created>
  <dcterms:modified xsi:type="dcterms:W3CDTF">2019-06-03T12:22:00Z</dcterms:modified>
</cp:coreProperties>
</file>